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112</w:t>
      </w:r>
    </w:p>
    <w:p>
      <w:r>
        <w:t>Bundesgericht (BGE), 1981-05-12, FR</w:t>
      </w:r>
    </w:p>
    <w:p>
      <w:r>
        <w:rPr>
          <w:b/>
        </w:rPr>
        <w:t xml:space="preserve">Quelle: </w:t>
      </w:r>
      <w:r>
        <w:t>https://mcp.opencaselaw.ch/entscheid/bge_112 III 112</w:t>
      </w:r>
    </w:p>
    <w:p>
      <w:r>
        <w:t>FR: ATF 112 III 112</w:t>
      </w:r>
    </w:p>
    <w:p>
      <w:r>
        <w:t>IT: DTF 112 III 112</w:t>
      </w:r>
    </w:p>
    <w:p>
      <w:pPr>
        <w:pStyle w:val="Heading2"/>
      </w:pPr>
      <w:r>
        <w:t>Regeste</w:t>
      </w:r>
    </w:p>
    <w:p>
      <w:r>
        <w:t>Regeste Sicherheitsleistung beim Arrest (Art. 273 SchKG). Der Betrag der bei einem Arrest zu leistenden Sicherheit kann je nach den Umständen erhöht werden, namentlich wenn sich deren Wert infolge eines Kursverlustes der hinterlegten Wertpapiere oder der ausländischen Währung, in der die Sicherheit geleistet wurde, vermindert. Der Richter kann, ohne in Willkür zu verfallen, von einem ersten Entscheid, mit dem die Höhe der für den Arrest zu leistenden Sicherheit festgesetzt wurde, abweichen, wenn aufgrund neuer Vorbringen eine neue Sicht der Situation wahrscheinlich gemacht wird (E. 2).</w:t>
      </w:r>
    </w:p>
    <w:p>
      <w:pPr>
        <w:pStyle w:val="Heading2"/>
      </w:pPr>
      <w:r>
        <w:t>Erwägungen</w:t>
      </w:r>
    </w:p>
    <w:p>
      <w:r>
        <w:rPr>
          <w:b/>
        </w:rPr>
        <w:t>E. 2</w:t>
      </w:r>
    </w:p>
    <w:p>
      <w:r>
        <w:t>a) Le droit fédéral règle les conditions et le contenu des sûretés de l' art. 273 al. 1 LP (ZR 1984 No 26 p. 80). On peut obliger le créancier, même d'office, à fournir des sûretés lorsque la créance ou le cas de séquestre sont douteux. Le dommage matériel issu du séquestre injustifié ( ATF 67 III 94 ), dont la réparation doit être garantie, peut comprendre notamment, outre le préjudice direct, les frais que causera le procès en validation du séquestre ( ATF 93 I 284 consid. 5b; arrêt N. S.p.A. du 3 septembre 1981). L'action en réparation ne compète qu'au débiteur séquestré (SJ 1984 p. 361; ATF 67 III 92 ), et non par exemple au tiers revendiquant (RSJ 1959 p. 276). Des circonstances peuvent survenir, après une décision obligeant le créancier à fournir des sûretés, qui justifient une augmentation de leur montant. Ainsi la durée imprévue d'une procédure en validation du séquestre ou la diminution de la valeur des sûretés, par exemple par une baisse de cours - de la monnaie étrangère ou de papiers-valeurs déposés -, aisément appréciable s'il y a cotation régulière sur le marché (cf. l'arrêt rendu dans le même complexe le 8 avril 1986, Banque de la Méditerranée-France S.A. c. Sarakbi, consid. 3b; E. MEIER, Die Sicherheitsleistung des Arrestgläubigers (Arrestkaution) gemäss SchKG 273 I, thèse Zurich 1978, p. 42/43; ZR 1955, No 166 p. 322, 2e col. in fine; cf. SJ 1986, p. 176). Cette augmentation va de soi, autant qu'elle BGE 112 III 112 S. 115 respecte le but des sûretés, qui est d'offrir au débiteur une garantie suffisant à le désintéresser du préjudice que le créancier pourra être chargé de réparer dans le procès éventuel de l' art. 273 LP . b) Pour décider s'il y a lieu au séquestre et au dépôt d'une caution, la loi institue une procédure rapide et sommaire, dans laquelle l'autorité statue sans audition du débiteur et selon la vraisemblance qu'offrent les pièces et allégations (FAVRE, Droit des poursuites, p. 364; FRITZSCHE, Schuldbetreibung und Konkurs, II p. 204). Les cantons prévoient généralement à cet effet, comme celui de Genève (art. 22 LALP), la voie des mesures provisionnelles. Le fait que l'ordonnance ne soit pas susceptible de recours et qu'elle ait force de chose jugée n'interdit pas le dépôt d'une seconde requête. Les conditions auxquelles le juge peut s'écarter de la décision initiale doivent s'analyser au regard de la nature nécessairement sommaire de la procédure adoptée par le canton en application des art. 23 ch. 1, 272 et 279 LP . Fondé à statuer selon la vraisemblance et au regard des allégués, le juge peut sans arbitraire, sur la base d'une instruction complétée, modifier une première ordonnance au vu d'allégués nouveaux apportant une vision nouvelle de la situation (arrêt C. c. S. Inc. Company et M. G. S.A., du 27 août 1976, consid. 2a). c) S'agissant de l'opportunité de la fourniture de sûretés par le créancier séquestrant ( art. 273 al. 1 LP ), l'autorité cantonale apprécie librement s'il y a lieu d'imposer ou d'augmenter la garantie, sous la seule réserve de l'interdiction de l'arbitraire.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